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Колопроктология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03:52 МСК · База обновлена: 25.07.2026, 03:38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Колопроктология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76 лет обратился к врачу колопроктологу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Выделение темной крови и слизи со стулом, императивные позывы на дефекацию, слабость и головокружение, частый жидкий стул.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Настоящие жалобы в течение полугода.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Русский, работает трактористом, в анамнезе: простудные заболевания, детские инфекции, в возрасте полугода лет – гепатит А. Перенес острое нарушение мозгового кровообращения 4 года назад (неврологическая симптоматика отсутствует).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75 кг, рост 186 см. Температура тела 36,5°С.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17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Грудные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легких: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Аускультация: над всей поверхностью грудной клетки в проекции легких определяется везикулярное дыхание, хрипов нет, ЧДД 17 уд в мин. Ро2 97%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88 уд в мин, АД 120/70 мм 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до 5 раз в сутки с примесью крови и слизи.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Первоочередным физикальным методом обследования с вышеописанными жалобами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аускультация перистальтических шумов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наружный осмотр перианальной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пальцевое ректальное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ректороманоскопия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пальцевое ректальное исследование</w:t>
      </w:r>
    </w:p>
    <w:p>
      <w:pPr>
        <w:ind w:left="504"/>
      </w:pPr>
      <w:r>
        <w:rPr>
          <w:b w:val="0"/>
          <w:i/>
        </w:rPr>
        <w:t>Рекомендуется тщательный физикальный осмотр, включающий пальцевое ректальное исследование, оценку нутритивного статуса.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методом адекватной локальной оценки распространения опухолевого процесса в прямой кишке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сигмоскопия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КТ-органов малого таза с в/в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органов малого таза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МРТ органов малого таза</w:t>
      </w:r>
    </w:p>
    <w:p>
      <w:pPr>
        <w:ind w:left="504"/>
      </w:pPr>
      <w:r>
        <w:rPr>
          <w:b w:val="0"/>
          <w:i/>
        </w:rPr>
        <w:t>Рекомендуется выполнить МРТ малого таза перед планированием химиолучевой терапии и перед хирургическим лечением.</w:t>
        <w:br/>
        <w:br/>
        <w:t>МРТ малого таза позволяет определить локализацию, протяженность, глубину инвазии опухоли, оценить состояние регионарных лимфатических узлов.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расположении опухоли на 8 см от анального края в условиях отсутствия признаков распространения опухоли за пределы кишечной стенки в клетчатку, а также гематогенного и лимфогенного метастазирования пациенту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трансанальной эндомикрохирургии с формированием превентивной коло- или илеостомы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низкой передней резекции прямой кишки с формированием превентивной коло- или илеостомы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брюшно-промежностной экстирпации прямой кишки с формированием концевой колостомы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передней резекции прямой кишки без превентивной стомы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низкой передней резекции прямой кишки с формированием превентивной коло- или илеостомы</w:t>
      </w:r>
    </w:p>
    <w:p>
      <w:pPr>
        <w:ind w:left="504"/>
      </w:pPr>
      <w:r>
        <w:rPr>
          <w:b w:val="0"/>
          <w:i/>
        </w:rPr>
        <w:t>При выполнении тотальной мезоректумэктомии (локализация опухоли ниже 10 см от края ануса) рекомендуется формировать превентивную коло- или илеостому. После тотальной мезоректумэктомии операция может завершаться формированием тазового толстокишечного резервуара или анастомоза «бок-в-конец» для улучшения функциональных результатов лечения.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Основным правилом маркировки места предполагаемой кишечной стомы является учет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роста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телосложения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веса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волосяного покрова передней брюшной стенки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телосложения пациента</w:t>
      </w:r>
    </w:p>
    <w:p>
      <w:pPr>
        <w:ind w:left="504"/>
      </w:pPr>
      <w:r>
        <w:rPr>
          <w:b w:val="0"/>
          <w:i/>
        </w:rPr>
        <w:t>Место формирования будущей стомы должно быть выбрано до операции с учетом телосложения больного, толщины брюшной стенки, естественных складок живота, при осмотре больного лежа на спине, сидя и стоя.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Острая кишечная непроходимость опухолевой этиологии,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отключения из пассажа всей толстой кишки при создании низкого колоректального анастомоза необходимо формирование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асцендостомы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трансверзостомы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сигмостомы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илеостомы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илеостомы</w:t>
      </w:r>
    </w:p>
    <w:p>
      <w:pPr>
        <w:ind w:left="504"/>
      </w:pPr>
      <w:r>
        <w:rPr>
          <w:b w:val="0"/>
          <w:i/>
        </w:rPr>
        <w:t>Формирование петлевой илеостомы позволяет исключить из пассажа кишечного содержимого любой отдел толстой кишки.</w:t>
        <w:br/>
        <w:br/>
      </w:r>
      <w:hyperlink r:id="rId28">
        <w:r>
          <w:rPr>
            <w:color w:val="173C49"/>
            <w:u w:val="single"/>
          </w:rPr>
          <w:t>Клинические рекомендации Ассоциации колопроктологов России. Кишечная стома у взрослых, 2016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 целью предотвращения заброса содержимого из функционирующего колена в «отключенное» кишечную стому формируют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пристеночно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трансректально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столбиком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забрюшинно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столбиком</w:t>
      </w:r>
    </w:p>
    <w:p>
      <w:pPr>
        <w:ind w:left="504"/>
      </w:pPr>
      <w:r>
        <w:rPr>
          <w:b w:val="0"/>
          <w:i/>
        </w:rPr>
        <w:t>Для предотвращения заброса кишечного содержимого из приводящего колена в отводящее последнюю формируют столбиком.</w:t>
        <w:br/>
        <w:br/>
      </w:r>
      <w:hyperlink r:id="rId28">
        <w:r>
          <w:rPr>
            <w:color w:val="173C49"/>
            <w:u w:val="single"/>
          </w:rPr>
          <w:t>Клинические рекомендации Ассоциации колопроктологов России. Кишечная стома у взрослых, 2016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адекватного функционирования петлевой илеостомы и минимального риска развития парастомальной грыжи размер формируемого дефекта в апоневрозе передней брюшной стенки должен быть +________________________+ выводимой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2 раза больше диаметра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равен диаметру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2,5 раза больше диаметра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1,5 раза больше диаметра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равен диаметру</w:t>
      </w:r>
    </w:p>
    <w:p>
      <w:pPr>
        <w:ind w:left="504"/>
      </w:pPr>
      <w:r>
        <w:rPr>
          <w:b w:val="0"/>
          <w:i/>
        </w:rPr>
        <w:t>С целью профилактики формирования парастомальной грыжи размер формируемого отверстия в апоневрозе должен быть равен диаметру кишки, несущей стому.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Острая кишечная непроходимость опухолевой этиологии у взрослых, 2017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формировании петлевой илеостомы, петлю подвздошной кишки выводят в +________+ см от слепой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15-20</w:t>
      </w:r>
    </w:p>
    <w:p>
      <w:pPr>
        <w:ind w:left="504"/>
      </w:pPr>
      <w:r>
        <w:rPr>
          <w:b w:val="0"/>
          <w:i/>
        </w:rPr>
        <w:t>Для профилактики синдрома короткого кишечника, предотвращения водно-электролитных нарушений, а также с целью освобождения отключенной петли при формировании анастомоза «бок в бок» петлевая илеостома формируется в 15-20 см от слепой кишки.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Острая кишечная непроходимость опухолевой этиологии у взрослых, 2017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профилактики осложнений при формировании стомы петля подвздошной кишки должна свободно выводиться на _____ см выше уровня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3-4</w:t>
      </w:r>
    </w:p>
    <w:p>
      <w:pPr>
        <w:ind w:left="504"/>
      </w:pPr>
      <w:r>
        <w:rPr>
          <w:b w:val="0"/>
          <w:i/>
        </w:rPr>
        <w:t>Для профилактики ретракции стомы, а также адекватного использования средств ухода за стомой, последняя должна формироваться в 3-4 см выше уровня кожи.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Острая кишечная непроходимость опухолевой этиологии у взрослых, 2017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профилактики ретракции стомы используют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поддерживающую палочку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магнитно-запирательное устройство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конвексную пластину калоприемника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послеоперационный бандаж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поддерживающую палочку</w:t>
      </w:r>
    </w:p>
    <w:p>
      <w:pPr>
        <w:ind w:left="504"/>
      </w:pPr>
      <w:r>
        <w:rPr>
          <w:b w:val="0"/>
          <w:i/>
        </w:rPr>
        <w:t>Поддерживающая палочка, формируя кишечную шпору в ближайшем послеоперационном периоде препятствует ретракции кишки в брюшную полость.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Острая кишечная непроходимость опухолевой этиологии у взрослых, 2017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Формирование проксимальной разгрузочной стомы показано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перфорации опухоли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кишечной непроходимости опухолевого генеза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кровотечении из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диастатическом разрыве стенки ободочной кишки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кишечной непроходимости опухолевого генеза</w:t>
      </w:r>
    </w:p>
    <w:p>
      <w:pPr>
        <w:ind w:left="504"/>
      </w:pPr>
      <w:r>
        <w:rPr>
          <w:b w:val="0"/>
          <w:i/>
        </w:rPr>
        <w:t>Формирование проксимальной разгрузочной илео- или колостомы показано при отсутствии таких осложнений со стороны первичной опухоли, как перфорация, абсцедирование, кровотечение, а также диастатических разрывов и перфорации отделов ободочной кишки, расположенных проксимальнее злокачественного новообразования. Наличие таких осложнений диктует крайнюю необходимость выполнения первичной резекции без формирования анастомоза. После стабилизации состояния больного в условиях специализированного стационара показано выполнение резекции толстой кишки с соблюдением онкологических принципов. При этом возможно сохранение ранее наложенной стомы в качестве превентивной для протекции сформированного межкишечного анастомоза.</w:t>
        <w:br/>
        <w:br/>
      </w:r>
      <w:hyperlink r:id="rId31">
        <w:r>
          <w:rPr>
            <w:color w:val="173C49"/>
            <w:u w:val="single"/>
          </w:rPr>
          <w:t>Клинические рекомендации Минздрава России. Острая кишечная непроходимость опухолевой этиологии у взрослых, 2017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информативным рутинным методом инструментальной диагностики парастомальных абсцессов и свищей является _____ парастомальной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 (МРТ)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(УЗИ)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 (КТ)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позитронно-эмиссионная томография (ПЭТ)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ультразвуковое исследование (УЗИ)</w:t>
      </w:r>
    </w:p>
    <w:p>
      <w:pPr>
        <w:ind w:left="504"/>
      </w:pPr>
      <w:r>
        <w:rPr>
          <w:b w:val="0"/>
          <w:i/>
        </w:rPr>
        <w:t>Отсутствие инвазивности процедуры, лучевой нагрузки, а также высокая способность метода в диагностике воспалительных осложнений мягких тканей передней брюшной стенки делает УЗИ методом выбора в диагностике парастомальных свищей и абсцессов.</w:t>
        <w:br/>
        <w:br/>
      </w:r>
      <w:hyperlink r:id="rId28">
        <w:r>
          <w:rPr>
            <w:color w:val="173C49"/>
            <w:u w:val="single"/>
          </w:rPr>
          <w:t>Клинические рекомендации Ассоциации колопроктологов России. Кишечная стома у взрослых, 2016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Колопроктология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70 лет обратился к врачу колопроктологу.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Выделение крови и слизи со стулом.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Настоящие жалобы предъявляет в течение 4 месяцев.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Пациентка не работает, в анамнезе: ОРВИ, детские инфекции.</w:t>
      </w:r>
    </w:p>
    <w:p>
      <w:pPr>
        <w:spacing w:after="58"/>
      </w:pPr>
      <w:r>
        <w:rPr>
          <w:b w:val="0"/>
          <w:i w:val="0"/>
        </w:rPr>
        <w:t>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74 кг, рост 158 см. Температура тела 36,6℃.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17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Голосовое дрожание выражено умеренно, одинаково на симметричных участках грудной клетки. Сравнительная перкуссия легких: над всей грудной клеткой в проекции легких определяется коробочный легочный звук. Границы лёгких в пределах нормы справа. Аускультация: над всей поверхностью грудной клетки в проекции легких определяется везикулярное дыхание, хрипов нет, ЧДД 18 уд в мин.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53 уд в мин, АД 120/80 мм рт.ст.</w:t>
      </w:r>
    </w:p>
    <w:p>
      <w:pPr>
        <w:spacing w:after="58"/>
      </w:pPr>
      <w:r>
        <w:rPr>
          <w:b w:val="0"/>
          <w:i w:val="0"/>
        </w:rPr>
        <w:t>Живот не вздут, не напряжен, безболезненный, патологические образования через брюшную стенку не пальпируются.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качестве основного метода обследования данной пациентки на первичном приеме проктолога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пальцевого ректального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пальпации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колоноскопии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пальцевого ректального исследования</w:t>
      </w:r>
    </w:p>
    <w:p>
      <w:pPr>
        <w:ind w:left="504"/>
      </w:pPr>
      <w:r>
        <w:rPr>
          <w:b w:val="0"/>
          <w:i/>
        </w:rPr>
        <w:t>Рекомендуется тщательный физикальный осмотр, включающий пальцевое ректальное исследование, оценка нутритивного статуса.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 целью определения распространенности опухоли, пациентке необходимо рекомендовать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КТ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малого таза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МРТ малого таза</w:t>
      </w:r>
    </w:p>
    <w:p>
      <w:pPr>
        <w:ind w:left="504"/>
      </w:pPr>
      <w:r>
        <w:rPr>
          <w:b w:val="0"/>
          <w:i/>
        </w:rPr>
        <w:t>Рекомендуется выполнить МРТ малого таза перед планированием химиолучевой терапии и перед хирургическим лечением. МРТ малого таза позволяет определить локализацию, протяженность, глубину инвазии опухоли, оценить состояние регионарных лимфатических узлов.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результатам колоноскопии, МРТ малого таза и гистологического исследования (биопсия) у пациентки выявлена аденокарцинома прямой кишки. С целью уточнения основного диагноза больной необходимо дополнительно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эзофагогастродуоденоскопию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КТ грудной клетки и брюшной полости с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КТ малого таза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КТ грудной клетки и брюшной полости с внутривенным контрастированием</w:t>
      </w:r>
    </w:p>
    <w:p>
      <w:pPr>
        <w:ind w:left="504"/>
      </w:pPr>
      <w:r>
        <w:rPr>
          <w:b w:val="0"/>
          <w:i/>
        </w:rPr>
        <w:t>КТ органов брюшной полости и грудной клетки является стандартом уточняющей диагностики при раке прямой кишки в большинстве развитых стран.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Таким образом, пациентке можно установить предварительный диагноз по классификации TNM (8 издание) – Рак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сT4aN0M0, стадия IIА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сT3N0M1, стадия IIIА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сT4bN0M0, стадия IIC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сT3N1M0, стадия 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сT4bN0M0, стадия IIC</w:t>
      </w:r>
    </w:p>
    <w:p>
      <w:pPr>
        <w:ind w:left="504"/>
      </w:pPr>
      <w:r>
        <w:rPr>
          <w:b w:val="0"/>
          <w:i/>
        </w:rPr>
        <w:t>Учитывая локализацию опухоли, ее гистологическое строение, прорастание всех слоев кишечной стенки, вовлечением леватора, без признаков регионарного и отдаленного метастазирования, пациенту можно установить предварительный диагноз - Рак прямой кишки, сT4bN0M0, стадия IIC.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распространенность опухолевого процесса, лечение данной пациентки следует начинать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химиотерапии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симптоматической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хирургического вмешательства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химиолучевой терапии</w:t>
      </w:r>
    </w:p>
    <w:p>
      <w:pPr>
        <w:ind w:left="504"/>
      </w:pPr>
      <w:r>
        <w:rPr>
          <w:b w:val="0"/>
          <w:i/>
        </w:rPr>
        <w:t>При локализованном и местнораспространенном раке прямой кишки II–III стадий (Т1-2N1-2M0, T3-4N0-2M0) рекомендуется проведение предоперационной лучевой/химиолучевой терапии и последующего радикального хирургического лечения.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После проведения химиолучевой терапии пациентке необходимо проведение хирургического вмешательства в сроки (в неделях)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6-8</w:t>
      </w:r>
    </w:p>
    <w:p>
      <w:pPr>
        <w:ind w:left="504"/>
      </w:pPr>
      <w:r>
        <w:rPr>
          <w:b w:val="0"/>
          <w:i/>
        </w:rPr>
        <w:t>Рекомендуется пациентам после курса лучевой терапии РОД 5 Гр, СОД 25 Гр с целью достижения максимального эффекта и снижения риска осложнений соблюдать следующие сроки проведения хирургического лечения: в случае отсутствия консолидирующей ХТ – не ранее 6 и не позднее 8 недель после завершения, в случае проведения консолидирующей ХТ – не позднее 20 недель с момента её завершения.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Таким образом, пациентке показано выполнение оперативного вмешательства в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трансанального эндомикрохирургического удаления опухоли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экстралеваторной брюшно-промежностной экстирпации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брюшно-анальной резекции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низкой передней резекции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экстралеваторной брюшно-промежностной экстирпации</w:t>
      </w:r>
    </w:p>
    <w:p>
      <w:pPr>
        <w:ind w:left="504"/>
      </w:pPr>
      <w:r>
        <w:rPr>
          <w:b w:val="0"/>
          <w:i/>
        </w:rPr>
        <w:t>Выполнение экстралеваторной экстирпации прямой кишки показано пациентам с подтверждённым МРТ врастанием опухоли в мышцы тазового дна.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Учитывая стадию заболевания, пациентке необходимо рекомендовать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повторного оперативного вмешательства с резекцией зоны анастомоза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адъювантной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динамического наблюдения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послеоперационной химиолучевой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адъювантной химиотерапии</w:t>
      </w:r>
    </w:p>
    <w:p>
      <w:pPr>
        <w:ind w:left="504"/>
      </w:pPr>
      <w:r>
        <w:rPr>
          <w:b w:val="0"/>
          <w:i/>
        </w:rPr>
        <w:t>В случаях предоперационного химиолучевого лечения, назначение адъювантной химиотерапии основано на результатах патоморфологического исследования. При ypT3-4N0 или ypТ1-4N+ проводится адъювантная химиотерапия по схеме XELOX или FOLFOX, суммарно до 6 месяцев терапии (включая и длительность предоперационного лечения).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Учитывая стадию заболевания, пациентке рекомендовано проведение адъювантной химиотерапии по схеме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FOLFIRI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капецитабин в монорежиме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De Gramont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XELOX/FOLFOX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XELOX/FOLFOX</w:t>
      </w:r>
    </w:p>
    <w:p>
      <w:pPr>
        <w:ind w:left="504"/>
      </w:pPr>
      <w:r>
        <w:rPr>
          <w:b w:val="0"/>
          <w:i/>
        </w:rPr>
        <w:t>В случаях предоперационного химиолучевого лечения, назначение адъювантной химиотерапии основано на результатах патоморфологического исследования. При ypT3-4N0 или ypТ1-4N+ проводится адъювантная химиотерапия по схеме XELOX или FOLFOX, суммарно до 6 месяцев терапии (включая и длительность предоперационного лечения).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Пациентке после выписки из стационара следует рекомендовать осмотр проктолога в первые 2 года после операции каждые +___+ (мес)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3-6</w:t>
      </w:r>
    </w:p>
    <w:p>
      <w:pPr>
        <w:ind w:left="504"/>
      </w:pPr>
      <w:r>
        <w:rPr>
          <w:b w:val="0"/>
          <w:i/>
        </w:rPr>
        <w:t>Рекомендуется соблюдать следующую периодичность и методы наблюдения после завершения лечения по поводу рака прямой кишки: в первые 1-2 года физикальный осмотр и сбор жалоб рекомендуется проводить каждые 3-6 месяцев.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Пациентке после выписки из стационара следует рекомендовать осмотр онкопроктолога на сроке после 2-х лет после операции один раз в +______+ (в годах)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Рекомендуется соблюдать следующую периодичность и методы наблюдения после завершения лечения по поводу рака прямой кишки: на сроке 3-5 лет - 1 раз в 6-12 месяцев. После 5 лет с момента операции визиты проводятся ежегодно или при появлении жалоб.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Пациентке каждые три месяца в течение первых двух лет после операции необходимо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крови на онкомаркеры - РЭА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КТ грудной клетки, брюшной полости и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рентгенографию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анализ крови на онкомаркеры - РЭА</w:t>
      </w:r>
    </w:p>
    <w:p>
      <w:pPr>
        <w:ind w:left="504"/>
      </w:pPr>
      <w:r>
        <w:rPr>
          <w:b w:val="0"/>
          <w:i/>
        </w:rPr>
        <w:t>Частота проведения МРТ органов малого таза при отсутствии подозрения на рецидив (данные пальцевого исследования, рост РЭА и т.д.) обычно не превышает 1 раза в год.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прямой кишки, 2025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Колопроктология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554_4/" TargetMode="External"/><Relationship Id="rId21" Type="http://schemas.openxmlformats.org/officeDocument/2006/relationships/hyperlink" Target="https://library.mededtech.ru/rest/documents/KP554_4/#list_item_u5tt8t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554_4/#paragraph_mqe3vr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554_4/#paragraph_4d1e45" TargetMode="External"/><Relationship Id="rId26" Type="http://schemas.openxmlformats.org/officeDocument/2006/relationships/hyperlink" Target="https://library.mededtech.ru/rest/documents/KP462_24/" TargetMode="External"/><Relationship Id="rId27" Type="http://schemas.openxmlformats.org/officeDocument/2006/relationships/hyperlink" Target="https://library.mededtech.ru/rest/documents/KP462_24/#list_item_3823hu" TargetMode="External"/><Relationship Id="rId28" Type="http://schemas.openxmlformats.org/officeDocument/2006/relationships/hyperlink" Target="https://library.mededtech.ru/rest/documents/cr_156/" TargetMode="External"/><Relationship Id="rId29" Type="http://schemas.openxmlformats.org/officeDocument/2006/relationships/hyperlink" Target="https://library.mededtech.ru/rest/documents/cr_156/#list_item_2pl9d" TargetMode="External"/><Relationship Id="rId30" Type="http://schemas.openxmlformats.org/officeDocument/2006/relationships/hyperlink" Target="https://library.mededtech.ru/rest/documents/cr_156/#list_item_l66ou" TargetMode="External"/><Relationship Id="rId31" Type="http://schemas.openxmlformats.org/officeDocument/2006/relationships/hyperlink" Target="https://library.mededtech.ru/rest/documents/cr_322/" TargetMode="External"/><Relationship Id="rId32" Type="http://schemas.openxmlformats.org/officeDocument/2006/relationships/hyperlink" Target="https://library.mededtech.ru/rest/documents/cr_322/#paragraph_pgld8" TargetMode="External"/><Relationship Id="rId33" Type="http://schemas.openxmlformats.org/officeDocument/2006/relationships/hyperlink" Target="https://library.mededtech.ru/rest/documents/cr_322/#paragraph_55bb0" TargetMode="External"/><Relationship Id="rId34" Type="http://schemas.openxmlformats.org/officeDocument/2006/relationships/image" Target="media/image7.png"/><Relationship Id="rId35" Type="http://schemas.openxmlformats.org/officeDocument/2006/relationships/hyperlink" Target="https://library.mededtech.ru/rest/documents/cr_322/#paragraph_tg8l2" TargetMode="External"/><Relationship Id="rId36" Type="http://schemas.openxmlformats.org/officeDocument/2006/relationships/hyperlink" Target="https://library.mededtech.ru/rest/documents/cr_156/#list_item_uaohb" TargetMode="External"/><Relationship Id="rId37" Type="http://schemas.openxmlformats.org/officeDocument/2006/relationships/hyperlink" Target="https://library.mededtech.ru/rest/documents/KP554_4/#list_item_g1467r" TargetMode="External"/><Relationship Id="rId38" Type="http://schemas.openxmlformats.org/officeDocument/2006/relationships/hyperlink" Target="https://library.mededtech.ru/rest/documents/KP554_4/#list_item_uqk6de" TargetMode="External"/><Relationship Id="rId39" Type="http://schemas.openxmlformats.org/officeDocument/2006/relationships/hyperlink" Target="https://library.mededtech.ru/rest/documents/KP554_4/#list_item_rphep9" TargetMode="External"/><Relationship Id="rId40" Type="http://schemas.openxmlformats.org/officeDocument/2006/relationships/hyperlink" Target="https://library.mededtech.ru/rest/documents/KP554_4/#paragraph_67ebfv" TargetMode="External"/><Relationship Id="rId41" Type="http://schemas.openxmlformats.org/officeDocument/2006/relationships/hyperlink" Target="https://library.mededtech.ru/rest/documents/KP554_4/#table1" TargetMode="External"/><Relationship Id="rId42" Type="http://schemas.openxmlformats.org/officeDocument/2006/relationships/hyperlink" Target="https://library.mededtech.ru/rest/documents/KP554_4/#list_item_ppqvg6" TargetMode="External"/><Relationship Id="rId43" Type="http://schemas.openxmlformats.org/officeDocument/2006/relationships/hyperlink" Target="https://library.mededtech.ru/rest/documents/KP554_4/#list_item_tl6d9g" TargetMode="External"/><Relationship Id="rId44" Type="http://schemas.openxmlformats.org/officeDocument/2006/relationships/hyperlink" Target="https://library.mededtech.ru/rest/documents/KP554_4/#paragraph_rl7prb" TargetMode="External"/><Relationship Id="rId45" Type="http://schemas.openxmlformats.org/officeDocument/2006/relationships/hyperlink" Target="https://library.mededtech.ru/rest/documents/KP554_4/#paragraph_pig4i1" TargetMode="External"/><Relationship Id="rId46" Type="http://schemas.openxmlformats.org/officeDocument/2006/relationships/hyperlink" Target="https://library.mededtech.ru/rest/documents/KP554_4/#list_item_d26drc" TargetMode="External"/><Relationship Id="rId47" Type="http://schemas.openxmlformats.org/officeDocument/2006/relationships/hyperlink" Target="https://library.mededtech.ru/rest/documents/KP554_4/#paragraph_bih6s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